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91F24C" w14:textId="1FE4C23B" w:rsidR="00C6176A" w:rsidRPr="004E4615" w:rsidRDefault="00C6176A" w:rsidP="00FA11C2">
      <w:pPr>
        <w:spacing w:line="276" w:lineRule="auto"/>
        <w:ind w:right="-425"/>
        <w:rPr>
          <w:rFonts w:ascii="Arial" w:hAnsi="Arial" w:cs="Arial"/>
        </w:rPr>
      </w:pPr>
      <w:r w:rsidRPr="004E4615">
        <w:rPr>
          <w:rFonts w:ascii="Arial" w:hAnsi="Arial" w:cs="Arial"/>
          <w:noProof/>
          <w:lang w:eastAsia="de-DE"/>
        </w:rPr>
        <w:drawing>
          <wp:anchor distT="0" distB="0" distL="114300" distR="114300" simplePos="0" relativeHeight="251655168" behindDoc="0" locked="0" layoutInCell="1" allowOverlap="1" wp14:anchorId="7EADACF3" wp14:editId="3D857544">
            <wp:simplePos x="0" y="0"/>
            <wp:positionH relativeFrom="page">
              <wp:align>center</wp:align>
            </wp:positionH>
            <wp:positionV relativeFrom="topMargin">
              <wp:align>bottom</wp:align>
            </wp:positionV>
            <wp:extent cx="6614160" cy="59055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nsor-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614160" cy="590550"/>
                    </a:xfrm>
                    <a:prstGeom prst="rect">
                      <a:avLst/>
                    </a:prstGeom>
                  </pic:spPr>
                </pic:pic>
              </a:graphicData>
            </a:graphic>
          </wp:anchor>
        </w:drawing>
      </w:r>
    </w:p>
    <w:p w14:paraId="37092C18" w14:textId="77777777" w:rsidR="00C6176A" w:rsidRPr="004E4615" w:rsidRDefault="00C6176A" w:rsidP="004E4615">
      <w:pPr>
        <w:spacing w:line="276" w:lineRule="auto"/>
        <w:rPr>
          <w:rFonts w:ascii="Arial" w:hAnsi="Arial" w:cs="Arial"/>
        </w:rPr>
      </w:pPr>
      <w:bookmarkStart w:id="0" w:name="_Hlk85747553"/>
    </w:p>
    <w:p w14:paraId="75ED706E" w14:textId="227B5626" w:rsidR="00C6176A" w:rsidRPr="009126D3" w:rsidRDefault="00C6176A" w:rsidP="004E4615">
      <w:pPr>
        <w:spacing w:line="276" w:lineRule="auto"/>
        <w:rPr>
          <w:rFonts w:ascii="Arial" w:hAnsi="Arial" w:cs="Arial"/>
          <w:b/>
          <w:sz w:val="24"/>
          <w:szCs w:val="24"/>
          <w:lang w:val="en-US"/>
        </w:rPr>
      </w:pPr>
      <w:r w:rsidRPr="009126D3">
        <w:rPr>
          <w:rFonts w:ascii="Arial" w:hAnsi="Arial" w:cs="Arial"/>
          <w:b/>
          <w:sz w:val="24"/>
          <w:szCs w:val="24"/>
          <w:lang w:val="en-US"/>
        </w:rPr>
        <w:t>Presse</w:t>
      </w:r>
      <w:r w:rsidR="009126D3">
        <w:rPr>
          <w:rFonts w:ascii="Arial" w:hAnsi="Arial" w:cs="Arial"/>
          <w:b/>
          <w:sz w:val="24"/>
          <w:szCs w:val="24"/>
          <w:lang w:val="en-US"/>
        </w:rPr>
        <w:t xml:space="preserve"> Release</w:t>
      </w:r>
      <w:r w:rsidRPr="009126D3">
        <w:rPr>
          <w:rFonts w:ascii="Arial" w:hAnsi="Arial" w:cs="Arial"/>
          <w:b/>
          <w:sz w:val="24"/>
          <w:szCs w:val="24"/>
          <w:lang w:val="en-US"/>
        </w:rPr>
        <w:t xml:space="preserve"> Sensor Instruments</w:t>
      </w:r>
    </w:p>
    <w:p w14:paraId="30FF1264" w14:textId="4537ADC7" w:rsidR="00C6176A" w:rsidRPr="009126D3" w:rsidRDefault="00650336" w:rsidP="004E4615">
      <w:pPr>
        <w:pBdr>
          <w:bottom w:val="single" w:sz="6" w:space="1" w:color="auto"/>
        </w:pBdr>
        <w:spacing w:line="276" w:lineRule="auto"/>
        <w:rPr>
          <w:rFonts w:ascii="Arial" w:hAnsi="Arial" w:cs="Arial"/>
          <w:lang w:val="en-US"/>
        </w:rPr>
      </w:pPr>
      <w:r>
        <w:rPr>
          <w:rFonts w:ascii="Arial" w:hAnsi="Arial" w:cs="Arial"/>
          <w:lang w:val="en-US"/>
        </w:rPr>
        <w:t>August</w:t>
      </w:r>
      <w:r w:rsidR="0005107E" w:rsidRPr="009126D3">
        <w:rPr>
          <w:rFonts w:ascii="Arial" w:hAnsi="Arial" w:cs="Arial"/>
          <w:lang w:val="en-US"/>
        </w:rPr>
        <w:t xml:space="preserve"> </w:t>
      </w:r>
      <w:r w:rsidR="00EA3D9D" w:rsidRPr="009126D3">
        <w:rPr>
          <w:rFonts w:ascii="Arial" w:hAnsi="Arial" w:cs="Arial"/>
          <w:lang w:val="en-US"/>
        </w:rPr>
        <w:t>202</w:t>
      </w:r>
      <w:r w:rsidR="00A5639E" w:rsidRPr="009126D3">
        <w:rPr>
          <w:rFonts w:ascii="Arial" w:hAnsi="Arial" w:cs="Arial"/>
          <w:lang w:val="en-US"/>
        </w:rPr>
        <w:t>4</w:t>
      </w:r>
    </w:p>
    <w:p w14:paraId="4471457E" w14:textId="6C1BD851" w:rsidR="00C6176A" w:rsidRPr="009126D3" w:rsidRDefault="00C6176A" w:rsidP="004E4615">
      <w:pPr>
        <w:spacing w:line="276" w:lineRule="auto"/>
        <w:rPr>
          <w:rFonts w:ascii="Arial" w:hAnsi="Arial" w:cs="Arial"/>
          <w:lang w:val="en-US"/>
        </w:rPr>
      </w:pPr>
    </w:p>
    <w:p w14:paraId="4883D155" w14:textId="66FF3898" w:rsidR="00457CED" w:rsidRPr="009126D3" w:rsidRDefault="00FE70EC" w:rsidP="00457CED">
      <w:pPr>
        <w:rPr>
          <w:b/>
          <w:sz w:val="28"/>
          <w:szCs w:val="28"/>
          <w:lang w:val="en-US"/>
        </w:rPr>
      </w:pPr>
      <w:r w:rsidRPr="00FE70EC">
        <w:rPr>
          <w:b/>
          <w:sz w:val="28"/>
          <w:szCs w:val="28"/>
          <w:lang w:val="en-US"/>
        </w:rPr>
        <w:t xml:space="preserve">Color measurement of </w:t>
      </w:r>
      <w:proofErr w:type="spellStart"/>
      <w:r w:rsidRPr="00FE70EC">
        <w:rPr>
          <w:b/>
          <w:sz w:val="28"/>
          <w:szCs w:val="28"/>
          <w:lang w:val="en-US"/>
        </w:rPr>
        <w:t>recyclates</w:t>
      </w:r>
      <w:proofErr w:type="spellEnd"/>
      <w:r w:rsidRPr="00FE70EC">
        <w:rPr>
          <w:b/>
          <w:sz w:val="28"/>
          <w:szCs w:val="28"/>
          <w:lang w:val="en-US"/>
        </w:rPr>
        <w:t xml:space="preserve"> in the recycling process</w:t>
      </w:r>
    </w:p>
    <w:p w14:paraId="2A293A28" w14:textId="42B89CD0" w:rsidR="00AD0A5B" w:rsidRPr="007A3B4E" w:rsidRDefault="00AD0A5B" w:rsidP="00AD0A5B">
      <w:pPr>
        <w:rPr>
          <w:color w:val="0070C0"/>
        </w:rPr>
      </w:pPr>
      <w:r>
        <w:rPr>
          <w:color w:val="0070C0"/>
        </w:rPr>
        <w:t xml:space="preserve">Color </w:t>
      </w:r>
      <w:proofErr w:type="spellStart"/>
      <w:r>
        <w:rPr>
          <w:color w:val="0070C0"/>
        </w:rPr>
        <w:t>differentiation</w:t>
      </w:r>
      <w:proofErr w:type="spellEnd"/>
      <w:r>
        <w:rPr>
          <w:color w:val="0070C0"/>
        </w:rPr>
        <w:t xml:space="preserve"> </w:t>
      </w:r>
      <w:proofErr w:type="spellStart"/>
      <w:r>
        <w:rPr>
          <w:color w:val="0070C0"/>
        </w:rPr>
        <w:t>of</w:t>
      </w:r>
      <w:proofErr w:type="spellEnd"/>
      <w:r>
        <w:rPr>
          <w:color w:val="0070C0"/>
        </w:rPr>
        <w:t xml:space="preserve"> </w:t>
      </w:r>
      <w:proofErr w:type="spellStart"/>
      <w:r>
        <w:rPr>
          <w:color w:val="0070C0"/>
        </w:rPr>
        <w:t>r</w:t>
      </w:r>
      <w:r>
        <w:rPr>
          <w:color w:val="0070C0"/>
        </w:rPr>
        <w:t>e</w:t>
      </w:r>
      <w:r>
        <w:rPr>
          <w:color w:val="0070C0"/>
        </w:rPr>
        <w:t>cylates</w:t>
      </w:r>
      <w:proofErr w:type="spellEnd"/>
    </w:p>
    <w:p w14:paraId="02989C27" w14:textId="77777777" w:rsidR="00AD0A5B" w:rsidRPr="009126D3" w:rsidRDefault="00AD0A5B" w:rsidP="00457CED">
      <w:pPr>
        <w:rPr>
          <w:lang w:val="en-US"/>
        </w:rPr>
      </w:pPr>
    </w:p>
    <w:bookmarkEnd w:id="0"/>
    <w:p w14:paraId="5B0EA6A3" w14:textId="6DCBBFD2" w:rsidR="00B85773" w:rsidRPr="00495A30" w:rsidRDefault="00B85773" w:rsidP="00B85773">
      <w:pPr>
        <w:rPr>
          <w:b/>
          <w:lang w:val="en-US"/>
        </w:rPr>
      </w:pPr>
      <w:r w:rsidRPr="00495A30">
        <w:rPr>
          <w:b/>
          <w:lang w:val="en-US"/>
        </w:rPr>
        <w:t>0</w:t>
      </w:r>
      <w:r w:rsidR="00650336">
        <w:rPr>
          <w:b/>
          <w:lang w:val="en-US"/>
        </w:rPr>
        <w:t>8</w:t>
      </w:r>
      <w:r w:rsidR="009126D3" w:rsidRPr="00495A30">
        <w:rPr>
          <w:b/>
          <w:lang w:val="en-US"/>
        </w:rPr>
        <w:t>/2</w:t>
      </w:r>
      <w:r w:rsidR="00650336">
        <w:rPr>
          <w:b/>
          <w:lang w:val="en-US"/>
        </w:rPr>
        <w:t>6</w:t>
      </w:r>
      <w:r w:rsidR="009126D3" w:rsidRPr="00495A30">
        <w:rPr>
          <w:b/>
          <w:lang w:val="en-US"/>
        </w:rPr>
        <w:t>/</w:t>
      </w:r>
      <w:r w:rsidRPr="00495A30">
        <w:rPr>
          <w:b/>
          <w:lang w:val="en-US"/>
        </w:rPr>
        <w:t>202</w:t>
      </w:r>
      <w:r w:rsidR="00A5639E" w:rsidRPr="00495A30">
        <w:rPr>
          <w:b/>
          <w:lang w:val="en-US"/>
        </w:rPr>
        <w:t>4</w:t>
      </w:r>
      <w:r w:rsidRPr="00495A30">
        <w:rPr>
          <w:b/>
          <w:lang w:val="en-US"/>
        </w:rPr>
        <w:t>. Sensor Instruments GmbH:</w:t>
      </w:r>
    </w:p>
    <w:p w14:paraId="04E2CA58" w14:textId="49B6F8B2" w:rsidR="00FE70EC" w:rsidRDefault="00AD0A5B" w:rsidP="00FE70EC">
      <w:pPr>
        <w:rPr>
          <w:lang w:val="en-US"/>
        </w:rPr>
      </w:pPr>
      <w:r>
        <w:rPr>
          <w:noProof/>
          <w:lang w:val="en-US"/>
        </w:rPr>
        <w:drawing>
          <wp:anchor distT="0" distB="0" distL="114300" distR="114300" simplePos="0" relativeHeight="251658240" behindDoc="1" locked="0" layoutInCell="1" allowOverlap="1" wp14:anchorId="475C244E" wp14:editId="2BA61FA8">
            <wp:simplePos x="0" y="0"/>
            <wp:positionH relativeFrom="margin">
              <wp:align>right</wp:align>
            </wp:positionH>
            <wp:positionV relativeFrom="paragraph">
              <wp:posOffset>5080</wp:posOffset>
            </wp:positionV>
            <wp:extent cx="2315845" cy="1733550"/>
            <wp:effectExtent l="0" t="0" r="8255" b="0"/>
            <wp:wrapTight wrapText="bothSides">
              <wp:wrapPolygon edited="0">
                <wp:start x="0" y="0"/>
                <wp:lineTo x="0" y="21363"/>
                <wp:lineTo x="21499" y="21363"/>
                <wp:lineTo x="21499" y="0"/>
                <wp:lineTo x="0" y="0"/>
              </wp:wrapPolygon>
            </wp:wrapTight>
            <wp:docPr id="19386180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15845" cy="1733550"/>
                    </a:xfrm>
                    <a:prstGeom prst="rect">
                      <a:avLst/>
                    </a:prstGeom>
                    <a:noFill/>
                  </pic:spPr>
                </pic:pic>
              </a:graphicData>
            </a:graphic>
            <wp14:sizeRelH relativeFrom="margin">
              <wp14:pctWidth>0</wp14:pctWidth>
            </wp14:sizeRelH>
            <wp14:sizeRelV relativeFrom="margin">
              <wp14:pctHeight>0</wp14:pctHeight>
            </wp14:sizeRelV>
          </wp:anchor>
        </w:drawing>
      </w:r>
      <w:r w:rsidR="00FE70EC" w:rsidRPr="00FE70EC">
        <w:rPr>
          <w:lang w:val="en-US"/>
        </w:rPr>
        <w:t xml:space="preserve">Why should the color of </w:t>
      </w:r>
      <w:proofErr w:type="spellStart"/>
      <w:r w:rsidR="00FE70EC" w:rsidRPr="00FE70EC">
        <w:rPr>
          <w:lang w:val="en-US"/>
        </w:rPr>
        <w:t>recyclates</w:t>
      </w:r>
      <w:proofErr w:type="spellEnd"/>
      <w:r w:rsidR="00FE70EC" w:rsidRPr="00FE70EC">
        <w:rPr>
          <w:lang w:val="en-US"/>
        </w:rPr>
        <w:t xml:space="preserve"> also be measured? </w:t>
      </w:r>
      <w:r w:rsidR="00FE70EC">
        <w:rPr>
          <w:lang w:val="en-US"/>
        </w:rPr>
        <w:br/>
      </w:r>
      <w:r w:rsidR="00FE70EC" w:rsidRPr="00FE70EC">
        <w:rPr>
          <w:lang w:val="en-US"/>
        </w:rPr>
        <w:t>A lot of effort is already put into separating the color of the objects to be recycled. The color separation of whole plastic objects is followed by a further color separation of the flakes or plastic fragments after shredding and the subsequent washing and drying process.</w:t>
      </w:r>
    </w:p>
    <w:p w14:paraId="0EF95C3D" w14:textId="503BF7E3" w:rsidR="00FE70EC" w:rsidRPr="00FE70EC" w:rsidRDefault="00FE70EC" w:rsidP="00FE70EC">
      <w:pPr>
        <w:rPr>
          <w:lang w:val="en-US"/>
        </w:rPr>
      </w:pPr>
      <w:r w:rsidRPr="00FE70EC">
        <w:rPr>
          <w:lang w:val="en-US"/>
        </w:rPr>
        <w:t>However, due to the changes in the EU Packaging and Packaging Waste Regulation (PPWR) regarding the proportion of recycled material in plastics (for example, from 2025, at least 25% of disposable PET beverage bottles must contain recycled plastic (</w:t>
      </w:r>
      <w:proofErr w:type="spellStart"/>
      <w:r w:rsidRPr="00FE70EC">
        <w:rPr>
          <w:lang w:val="en-US"/>
        </w:rPr>
        <w:t>recyclate</w:t>
      </w:r>
      <w:proofErr w:type="spellEnd"/>
      <w:r w:rsidRPr="00FE70EC">
        <w:rPr>
          <w:lang w:val="en-US"/>
        </w:rPr>
        <w:t>) and from 2030 at least 30%), the quality require</w:t>
      </w:r>
      <w:r>
        <w:rPr>
          <w:lang w:val="en-US"/>
        </w:rPr>
        <w:softHyphen/>
      </w:r>
      <w:r w:rsidRPr="00FE70EC">
        <w:rPr>
          <w:lang w:val="en-US"/>
        </w:rPr>
        <w:t xml:space="preserve">ments for the </w:t>
      </w:r>
      <w:proofErr w:type="spellStart"/>
      <w:r w:rsidRPr="00FE70EC">
        <w:rPr>
          <w:lang w:val="en-US"/>
        </w:rPr>
        <w:t>recyclate</w:t>
      </w:r>
      <w:proofErr w:type="spellEnd"/>
      <w:r w:rsidRPr="00FE70EC">
        <w:rPr>
          <w:lang w:val="en-US"/>
        </w:rPr>
        <w:t xml:space="preserve"> to be produced is increasing.</w:t>
      </w:r>
    </w:p>
    <w:p w14:paraId="29C922AC" w14:textId="40043E5D" w:rsidR="00FE70EC" w:rsidRDefault="00AE20A3" w:rsidP="00FE70EC">
      <w:pPr>
        <w:rPr>
          <w:lang w:val="en-US"/>
        </w:rPr>
      </w:pPr>
      <w:r>
        <w:rPr>
          <w:noProof/>
          <w:lang w:val="en-US"/>
        </w:rPr>
        <w:drawing>
          <wp:anchor distT="0" distB="0" distL="114300" distR="114300" simplePos="0" relativeHeight="251659264" behindDoc="1" locked="0" layoutInCell="1" allowOverlap="1" wp14:anchorId="37C9542F" wp14:editId="3E865CD8">
            <wp:simplePos x="0" y="0"/>
            <wp:positionH relativeFrom="margin">
              <wp:align>left</wp:align>
            </wp:positionH>
            <wp:positionV relativeFrom="paragraph">
              <wp:posOffset>7620</wp:posOffset>
            </wp:positionV>
            <wp:extent cx="1975485" cy="1981200"/>
            <wp:effectExtent l="0" t="0" r="5715" b="0"/>
            <wp:wrapTight wrapText="bothSides">
              <wp:wrapPolygon edited="0">
                <wp:start x="0" y="0"/>
                <wp:lineTo x="0" y="21392"/>
                <wp:lineTo x="21454" y="21392"/>
                <wp:lineTo x="21454" y="0"/>
                <wp:lineTo x="0" y="0"/>
              </wp:wrapPolygon>
            </wp:wrapTight>
            <wp:docPr id="139251643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75485" cy="1981200"/>
                    </a:xfrm>
                    <a:prstGeom prst="rect">
                      <a:avLst/>
                    </a:prstGeom>
                    <a:noFill/>
                  </pic:spPr>
                </pic:pic>
              </a:graphicData>
            </a:graphic>
          </wp:anchor>
        </w:drawing>
      </w:r>
      <w:r w:rsidR="00FE70EC" w:rsidRPr="00FE70EC">
        <w:rPr>
          <w:lang w:val="en-US"/>
        </w:rPr>
        <w:t xml:space="preserve">The plastics processing industry places the same quality demands on the </w:t>
      </w:r>
      <w:proofErr w:type="spellStart"/>
      <w:r w:rsidR="00FE70EC" w:rsidRPr="00FE70EC">
        <w:rPr>
          <w:lang w:val="en-US"/>
        </w:rPr>
        <w:t>recyclate</w:t>
      </w:r>
      <w:proofErr w:type="spellEnd"/>
      <w:r w:rsidR="00FE70EC" w:rsidRPr="00FE70EC">
        <w:rPr>
          <w:lang w:val="en-US"/>
        </w:rPr>
        <w:t xml:space="preserve"> as it does on virgin material, and the color of the </w:t>
      </w:r>
      <w:proofErr w:type="spellStart"/>
      <w:r w:rsidR="00FE70EC" w:rsidRPr="00FE70EC">
        <w:rPr>
          <w:lang w:val="en-US"/>
        </w:rPr>
        <w:t>recyclate</w:t>
      </w:r>
      <w:proofErr w:type="spellEnd"/>
      <w:r w:rsidR="00FE70EC" w:rsidRPr="00FE70EC">
        <w:rPr>
          <w:lang w:val="en-US"/>
        </w:rPr>
        <w:t xml:space="preserve"> is one of these quality demands. Although random </w:t>
      </w:r>
      <w:proofErr w:type="spellStart"/>
      <w:r w:rsidR="00FE70EC" w:rsidRPr="00FE70EC">
        <w:rPr>
          <w:lang w:val="en-US"/>
        </w:rPr>
        <w:t>recyclate</w:t>
      </w:r>
      <w:proofErr w:type="spellEnd"/>
      <w:r w:rsidR="00FE70EC" w:rsidRPr="00FE70EC">
        <w:rPr>
          <w:lang w:val="en-US"/>
        </w:rPr>
        <w:t xml:space="preserve"> color measurements are carried out in the laboratory at recycling companies, in most cases, the color of the </w:t>
      </w:r>
      <w:proofErr w:type="spellStart"/>
      <w:r w:rsidR="00FE70EC" w:rsidRPr="00FE70EC">
        <w:rPr>
          <w:lang w:val="en-US"/>
        </w:rPr>
        <w:t>recyclate</w:t>
      </w:r>
      <w:proofErr w:type="spellEnd"/>
      <w:r w:rsidR="00FE70EC" w:rsidRPr="00FE70EC">
        <w:rPr>
          <w:lang w:val="en-US"/>
        </w:rPr>
        <w:t xml:space="preserve"> is not monitored at the production facilities.</w:t>
      </w:r>
    </w:p>
    <w:p w14:paraId="5CB3AD2C" w14:textId="7DD93ADE" w:rsidR="00FE70EC" w:rsidRDefault="00AD0A5B" w:rsidP="00FE70EC">
      <w:pPr>
        <w:rPr>
          <w:lang w:val="en-US"/>
        </w:rPr>
      </w:pPr>
      <w:r>
        <w:rPr>
          <w:noProof/>
          <w:lang w:val="en-US"/>
        </w:rPr>
        <w:drawing>
          <wp:anchor distT="0" distB="0" distL="114300" distR="114300" simplePos="0" relativeHeight="251660288" behindDoc="1" locked="0" layoutInCell="1" allowOverlap="1" wp14:anchorId="30B2309C" wp14:editId="11B442A0">
            <wp:simplePos x="0" y="0"/>
            <wp:positionH relativeFrom="margin">
              <wp:align>right</wp:align>
            </wp:positionH>
            <wp:positionV relativeFrom="paragraph">
              <wp:posOffset>8255</wp:posOffset>
            </wp:positionV>
            <wp:extent cx="2007235" cy="2671445"/>
            <wp:effectExtent l="0" t="0" r="0" b="0"/>
            <wp:wrapTight wrapText="bothSides">
              <wp:wrapPolygon edited="0">
                <wp:start x="0" y="0"/>
                <wp:lineTo x="0" y="21410"/>
                <wp:lineTo x="21320" y="21410"/>
                <wp:lineTo x="21320" y="0"/>
                <wp:lineTo x="0" y="0"/>
              </wp:wrapPolygon>
            </wp:wrapTight>
            <wp:docPr id="195423219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7235" cy="2671445"/>
                    </a:xfrm>
                    <a:prstGeom prst="rect">
                      <a:avLst/>
                    </a:prstGeom>
                    <a:noFill/>
                  </pic:spPr>
                </pic:pic>
              </a:graphicData>
            </a:graphic>
            <wp14:sizeRelH relativeFrom="margin">
              <wp14:pctWidth>0</wp14:pctWidth>
            </wp14:sizeRelH>
            <wp14:sizeRelV relativeFrom="margin">
              <wp14:pctHeight>0</wp14:pctHeight>
            </wp14:sizeRelV>
          </wp:anchor>
        </w:drawing>
      </w:r>
      <w:r w:rsidR="00FE70EC" w:rsidRPr="00FE70EC">
        <w:rPr>
          <w:lang w:val="en-US"/>
        </w:rPr>
        <w:t xml:space="preserve">This is certainly also </w:t>
      </w:r>
      <w:proofErr w:type="gramStart"/>
      <w:r w:rsidR="00FE70EC" w:rsidRPr="00FE70EC">
        <w:rPr>
          <w:lang w:val="en-US"/>
        </w:rPr>
        <w:t>due to the fact that</w:t>
      </w:r>
      <w:proofErr w:type="gramEnd"/>
      <w:r w:rsidR="00FE70EC" w:rsidRPr="00FE70EC">
        <w:rPr>
          <w:lang w:val="en-US"/>
        </w:rPr>
        <w:t xml:space="preserve"> fewer </w:t>
      </w:r>
      <w:proofErr w:type="spellStart"/>
      <w:r w:rsidR="00FE70EC" w:rsidRPr="00FE70EC">
        <w:rPr>
          <w:lang w:val="en-US"/>
        </w:rPr>
        <w:t>recyclates</w:t>
      </w:r>
      <w:proofErr w:type="spellEnd"/>
      <w:r w:rsidR="00FE70EC" w:rsidRPr="00FE70EC">
        <w:rPr>
          <w:lang w:val="en-US"/>
        </w:rPr>
        <w:t xml:space="preserve"> have been used in new plastic products to date and also to the lack of suppliers of such inline </w:t>
      </w:r>
      <w:proofErr w:type="spellStart"/>
      <w:r w:rsidR="00FE70EC" w:rsidRPr="00FE70EC">
        <w:rPr>
          <w:lang w:val="en-US"/>
        </w:rPr>
        <w:t>recyclate</w:t>
      </w:r>
      <w:proofErr w:type="spellEnd"/>
      <w:r w:rsidR="00FE70EC" w:rsidRPr="00FE70EC">
        <w:rPr>
          <w:lang w:val="en-US"/>
        </w:rPr>
        <w:t xml:space="preserve"> color measurement systems, but measuring systems are now also available for this field of application. Sensor Instruments took care not only to develop an inline color measurement system, but also include the items required for on-site calibration in its product range.</w:t>
      </w:r>
    </w:p>
    <w:p w14:paraId="253E6E2F" w14:textId="598CB3E1" w:rsidR="00FE70EC" w:rsidRDefault="00FE70EC" w:rsidP="00FE70EC">
      <w:pPr>
        <w:rPr>
          <w:lang w:val="en-US"/>
        </w:rPr>
      </w:pPr>
      <w:r w:rsidRPr="00FE70EC">
        <w:rPr>
          <w:lang w:val="en-US"/>
        </w:rPr>
        <w:t>As laboratory color measurement systems are now used in almost all companies, the inline systems must provide comparable values to the color data measured in the labor</w:t>
      </w:r>
      <w:r>
        <w:rPr>
          <w:lang w:val="en-US"/>
        </w:rPr>
        <w:softHyphen/>
      </w:r>
      <w:r w:rsidRPr="00FE70EC">
        <w:rPr>
          <w:lang w:val="en-US"/>
        </w:rPr>
        <w:t xml:space="preserve">atory. However, it should be noted that </w:t>
      </w:r>
      <w:proofErr w:type="gramStart"/>
      <w:r w:rsidRPr="00FE70EC">
        <w:rPr>
          <w:lang w:val="en-US"/>
        </w:rPr>
        <w:t>in order to</w:t>
      </w:r>
      <w:proofErr w:type="gramEnd"/>
      <w:r w:rsidRPr="00FE70EC">
        <w:rPr>
          <w:lang w:val="en-US"/>
        </w:rPr>
        <w:t xml:space="preserve"> measure the color value of </w:t>
      </w:r>
      <w:proofErr w:type="spellStart"/>
      <w:r w:rsidRPr="00FE70EC">
        <w:rPr>
          <w:lang w:val="en-US"/>
        </w:rPr>
        <w:t>recyclates</w:t>
      </w:r>
      <w:proofErr w:type="spellEnd"/>
      <w:r w:rsidRPr="00FE70EC">
        <w:rPr>
          <w:lang w:val="en-US"/>
        </w:rPr>
        <w:t xml:space="preserve"> in the laboratory, they must first </w:t>
      </w:r>
      <w:r w:rsidRPr="00FE70EC">
        <w:rPr>
          <w:lang w:val="en-US"/>
        </w:rPr>
        <w:lastRenderedPageBreak/>
        <w:t xml:space="preserve">be formed into injection-molded plates at a certain economic and time expenditure, as many laboratory color measurement systems require a flat measuring surface. A color comparison between color plates and </w:t>
      </w:r>
      <w:proofErr w:type="spellStart"/>
      <w:r w:rsidRPr="00FE70EC">
        <w:rPr>
          <w:lang w:val="en-US"/>
        </w:rPr>
        <w:t>recyclates</w:t>
      </w:r>
      <w:proofErr w:type="spellEnd"/>
      <w:r w:rsidRPr="00FE70EC">
        <w:rPr>
          <w:lang w:val="en-US"/>
        </w:rPr>
        <w:t xml:space="preserve"> therefore requires, due to the different surface, a certain approximation of the color values from the inline color </w:t>
      </w:r>
      <w:proofErr w:type="spellStart"/>
      <w:r w:rsidRPr="00FE70EC">
        <w:rPr>
          <w:lang w:val="en-US"/>
        </w:rPr>
        <w:t>recyclate</w:t>
      </w:r>
      <w:proofErr w:type="spellEnd"/>
      <w:r w:rsidRPr="00FE70EC">
        <w:rPr>
          <w:lang w:val="en-US"/>
        </w:rPr>
        <w:t xml:space="preserve"> measurement.</w:t>
      </w:r>
    </w:p>
    <w:p w14:paraId="0F543F12" w14:textId="5A742DAB" w:rsidR="00FE70EC" w:rsidRPr="00FE70EC" w:rsidRDefault="00FE70EC" w:rsidP="00FE70EC">
      <w:pPr>
        <w:rPr>
          <w:lang w:val="en-US"/>
        </w:rPr>
      </w:pPr>
      <w:r>
        <w:rPr>
          <w:noProof/>
          <w:lang w:val="en-US"/>
        </w:rPr>
        <w:drawing>
          <wp:anchor distT="0" distB="0" distL="114300" distR="114300" simplePos="0" relativeHeight="251661312" behindDoc="1" locked="0" layoutInCell="1" allowOverlap="1" wp14:anchorId="771F5434" wp14:editId="3188D531">
            <wp:simplePos x="0" y="0"/>
            <wp:positionH relativeFrom="margin">
              <wp:align>right</wp:align>
            </wp:positionH>
            <wp:positionV relativeFrom="paragraph">
              <wp:posOffset>13970</wp:posOffset>
            </wp:positionV>
            <wp:extent cx="3377565" cy="2529840"/>
            <wp:effectExtent l="0" t="0" r="0" b="3810"/>
            <wp:wrapTight wrapText="bothSides">
              <wp:wrapPolygon edited="0">
                <wp:start x="0" y="0"/>
                <wp:lineTo x="0" y="21470"/>
                <wp:lineTo x="21442" y="21470"/>
                <wp:lineTo x="21442" y="0"/>
                <wp:lineTo x="0" y="0"/>
              </wp:wrapPolygon>
            </wp:wrapTight>
            <wp:docPr id="134878089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77565" cy="2529840"/>
                    </a:xfrm>
                    <a:prstGeom prst="rect">
                      <a:avLst/>
                    </a:prstGeom>
                    <a:noFill/>
                  </pic:spPr>
                </pic:pic>
              </a:graphicData>
            </a:graphic>
          </wp:anchor>
        </w:drawing>
      </w:r>
      <w:r w:rsidRPr="00FE70EC">
        <w:rPr>
          <w:lang w:val="en-US"/>
        </w:rPr>
        <w:t>The DOCAL software is very useful for this purpose. Using this Windows® software, the measured color values and their trends can be displayed and documented not only graphically und numerically on site, but also on-site calibration and so-called user calibra</w:t>
      </w:r>
      <w:r>
        <w:rPr>
          <w:lang w:val="en-US"/>
        </w:rPr>
        <w:softHyphen/>
      </w:r>
      <w:r w:rsidRPr="00FE70EC">
        <w:rPr>
          <w:lang w:val="en-US"/>
        </w:rPr>
        <w:t xml:space="preserve">tion is made possible. A sample is taken from the current </w:t>
      </w:r>
      <w:proofErr w:type="spellStart"/>
      <w:r w:rsidRPr="00FE70EC">
        <w:rPr>
          <w:lang w:val="en-US"/>
        </w:rPr>
        <w:t>recyclate</w:t>
      </w:r>
      <w:proofErr w:type="spellEnd"/>
      <w:r w:rsidRPr="00FE70EC">
        <w:rPr>
          <w:lang w:val="en-US"/>
        </w:rPr>
        <w:t xml:space="preserve"> production flow and the L*a*b* color value is determined in the laboratory after conversion into an injection-molded platelet. At the same time as the sample is taken, the L*a*b* color values are recorded using the COLTEM-85 inline color measurement system. The colorimetric value L*a*b* determined in the laboratory is now entered into the DOCAL software and compared with the L*a*b* color value determined by the inline colorimetric system. In the next step, the color values determined inline are matched to the color values determined in the laboratory. The same color values are now displayed in the laboratory and inline for the same </w:t>
      </w:r>
      <w:proofErr w:type="spellStart"/>
      <w:r w:rsidRPr="00FE70EC">
        <w:rPr>
          <w:lang w:val="en-US"/>
        </w:rPr>
        <w:t>recyclate</w:t>
      </w:r>
      <w:proofErr w:type="spellEnd"/>
      <w:r w:rsidRPr="00FE70EC">
        <w:rPr>
          <w:lang w:val="en-US"/>
        </w:rPr>
        <w:t xml:space="preserve">. </w:t>
      </w:r>
    </w:p>
    <w:p w14:paraId="2E043DC7" w14:textId="5AE5197B" w:rsidR="00FE70EC" w:rsidRPr="00FE70EC" w:rsidRDefault="00FE70EC" w:rsidP="00FE70EC">
      <w:pPr>
        <w:rPr>
          <w:lang w:val="en-US"/>
        </w:rPr>
      </w:pPr>
      <w:r>
        <w:rPr>
          <w:noProof/>
          <w:lang w:val="en-US"/>
        </w:rPr>
        <w:drawing>
          <wp:anchor distT="0" distB="0" distL="114300" distR="114300" simplePos="0" relativeHeight="251662336" behindDoc="1" locked="0" layoutInCell="1" allowOverlap="1" wp14:anchorId="5B818F14" wp14:editId="29911AF7">
            <wp:simplePos x="0" y="0"/>
            <wp:positionH relativeFrom="margin">
              <wp:align>right</wp:align>
            </wp:positionH>
            <wp:positionV relativeFrom="paragraph">
              <wp:posOffset>7620</wp:posOffset>
            </wp:positionV>
            <wp:extent cx="1152525" cy="2048510"/>
            <wp:effectExtent l="0" t="0" r="9525" b="8890"/>
            <wp:wrapTight wrapText="bothSides">
              <wp:wrapPolygon edited="0">
                <wp:start x="0" y="0"/>
                <wp:lineTo x="0" y="21493"/>
                <wp:lineTo x="21421" y="21493"/>
                <wp:lineTo x="21421" y="0"/>
                <wp:lineTo x="0" y="0"/>
              </wp:wrapPolygon>
            </wp:wrapTight>
            <wp:docPr id="212452247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52525" cy="2048510"/>
                    </a:xfrm>
                    <a:prstGeom prst="rect">
                      <a:avLst/>
                    </a:prstGeom>
                    <a:noFill/>
                  </pic:spPr>
                </pic:pic>
              </a:graphicData>
            </a:graphic>
          </wp:anchor>
        </w:drawing>
      </w:r>
      <w:r w:rsidRPr="00FE70EC">
        <w:rPr>
          <w:lang w:val="en-US"/>
        </w:rPr>
        <w:t xml:space="preserve">The DOCAL software informs the system operator about the L*a*b* color values and their trends in the current production in real time. The measuring head of the COLTEM-85 measuring system can be positioned on the vibrating feeder immediately after extrusion and pelletizing of </w:t>
      </w:r>
      <w:proofErr w:type="spellStart"/>
      <w:r w:rsidRPr="00FE70EC">
        <w:rPr>
          <w:lang w:val="en-US"/>
        </w:rPr>
        <w:t>recyclate</w:t>
      </w:r>
      <w:proofErr w:type="spellEnd"/>
      <w:r w:rsidRPr="00FE70EC">
        <w:rPr>
          <w:lang w:val="en-US"/>
        </w:rPr>
        <w:t xml:space="preserve">. In addition to the color of the </w:t>
      </w:r>
      <w:proofErr w:type="spellStart"/>
      <w:r w:rsidRPr="00FE70EC">
        <w:rPr>
          <w:lang w:val="en-US"/>
        </w:rPr>
        <w:t>recyclate</w:t>
      </w:r>
      <w:proofErr w:type="spellEnd"/>
      <w:r w:rsidRPr="00FE70EC">
        <w:rPr>
          <w:lang w:val="en-US"/>
        </w:rPr>
        <w:t xml:space="preserve">, its temperature can also be measured inline and the level of the </w:t>
      </w:r>
      <w:proofErr w:type="spellStart"/>
      <w:r w:rsidRPr="00FE70EC">
        <w:rPr>
          <w:lang w:val="en-US"/>
        </w:rPr>
        <w:t>recyclate</w:t>
      </w:r>
      <w:proofErr w:type="spellEnd"/>
      <w:r w:rsidRPr="00FE70EC">
        <w:rPr>
          <w:lang w:val="en-US"/>
        </w:rPr>
        <w:t xml:space="preserve"> flow on the vibrating feeder can be monitored using additional integrated laser displacement sensors. If the fill level is too high, this can be an indication that the screen at the outlet of the vibrating feeder is partially clogged, causing the </w:t>
      </w:r>
      <w:proofErr w:type="spellStart"/>
      <w:r w:rsidRPr="00FE70EC">
        <w:rPr>
          <w:lang w:val="en-US"/>
        </w:rPr>
        <w:t>recyclate</w:t>
      </w:r>
      <w:proofErr w:type="spellEnd"/>
      <w:r w:rsidRPr="00FE70EC">
        <w:rPr>
          <w:lang w:val="en-US"/>
        </w:rPr>
        <w:t xml:space="preserve"> produced to enter the reject channel, or if the fill level is too low, this can be an indication that not enough </w:t>
      </w:r>
      <w:proofErr w:type="spellStart"/>
      <w:r w:rsidRPr="00FE70EC">
        <w:rPr>
          <w:lang w:val="en-US"/>
        </w:rPr>
        <w:t>recyclate</w:t>
      </w:r>
      <w:proofErr w:type="spellEnd"/>
      <w:r w:rsidRPr="00FE70EC">
        <w:rPr>
          <w:lang w:val="en-US"/>
        </w:rPr>
        <w:t xml:space="preserve"> is being produced.</w:t>
      </w:r>
    </w:p>
    <w:p w14:paraId="6B6864CD" w14:textId="11BBB62D" w:rsidR="00A5639E" w:rsidRDefault="00AD0A5B" w:rsidP="00FE70EC">
      <w:pPr>
        <w:rPr>
          <w:lang w:val="en-US"/>
        </w:rPr>
      </w:pPr>
      <w:r>
        <w:rPr>
          <w:noProof/>
          <w:lang w:val="en-US"/>
        </w:rPr>
        <w:drawing>
          <wp:anchor distT="0" distB="0" distL="114300" distR="114300" simplePos="0" relativeHeight="251663360" behindDoc="1" locked="0" layoutInCell="1" allowOverlap="1" wp14:anchorId="7081AAD1" wp14:editId="694890B8">
            <wp:simplePos x="0" y="0"/>
            <wp:positionH relativeFrom="margin">
              <wp:align>right</wp:align>
            </wp:positionH>
            <wp:positionV relativeFrom="paragraph">
              <wp:posOffset>674370</wp:posOffset>
            </wp:positionV>
            <wp:extent cx="1450975" cy="1932305"/>
            <wp:effectExtent l="0" t="0" r="0" b="0"/>
            <wp:wrapTight wrapText="bothSides">
              <wp:wrapPolygon edited="0">
                <wp:start x="0" y="0"/>
                <wp:lineTo x="0" y="21295"/>
                <wp:lineTo x="21269" y="21295"/>
                <wp:lineTo x="21269" y="0"/>
                <wp:lineTo x="0" y="0"/>
              </wp:wrapPolygon>
            </wp:wrapTight>
            <wp:docPr id="114832445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50975" cy="1932305"/>
                    </a:xfrm>
                    <a:prstGeom prst="rect">
                      <a:avLst/>
                    </a:prstGeom>
                    <a:noFill/>
                  </pic:spPr>
                </pic:pic>
              </a:graphicData>
            </a:graphic>
          </wp:anchor>
        </w:drawing>
      </w:r>
      <w:r w:rsidR="00FE70EC" w:rsidRPr="00FE70EC">
        <w:rPr>
          <w:lang w:val="en-US"/>
        </w:rPr>
        <w:t xml:space="preserve">With the increasing need to use </w:t>
      </w:r>
      <w:proofErr w:type="spellStart"/>
      <w:r w:rsidR="00FE70EC" w:rsidRPr="00FE70EC">
        <w:rPr>
          <w:lang w:val="en-US"/>
        </w:rPr>
        <w:t>recyclates</w:t>
      </w:r>
      <w:proofErr w:type="spellEnd"/>
      <w:r w:rsidR="00FE70EC" w:rsidRPr="00FE70EC">
        <w:rPr>
          <w:lang w:val="en-US"/>
        </w:rPr>
        <w:t xml:space="preserve">, the plastics processing industry will also focus on the color quality of the material supplied by the recycling companies in the future. </w:t>
      </w:r>
      <w:proofErr w:type="spellStart"/>
      <w:r w:rsidR="00FE70EC" w:rsidRPr="00FE70EC">
        <w:rPr>
          <w:lang w:val="en-US"/>
        </w:rPr>
        <w:t>Recyclate</w:t>
      </w:r>
      <w:proofErr w:type="spellEnd"/>
      <w:r w:rsidR="00FE70EC" w:rsidRPr="00FE70EC">
        <w:rPr>
          <w:lang w:val="en-US"/>
        </w:rPr>
        <w:t xml:space="preserve"> color control could therefore already take place at the soli, the material feed or dosing unit. Using a special sight glass and corresponding SPECTRO-3-0°/45°-MSM-INLINE-DIG or SPECTRO-3-DIF/0°-MSM-INLINE-DIG color sensors from Sensor Instruments, an exact color measurement can be carried out at these positions. The DOCAL software is also available for this, which provides information on the color value trends dL*da*</w:t>
      </w:r>
      <w:proofErr w:type="spellStart"/>
      <w:r w:rsidR="00FE70EC" w:rsidRPr="00FE70EC">
        <w:rPr>
          <w:lang w:val="en-US"/>
        </w:rPr>
        <w:t>db</w:t>
      </w:r>
      <w:proofErr w:type="spellEnd"/>
      <w:r w:rsidR="00FE70EC" w:rsidRPr="00FE70EC">
        <w:rPr>
          <w:lang w:val="en-US"/>
        </w:rPr>
        <w:t>* in addition to the actual value L*a*b*. Appropriate calibration units are also available for these inline color measurement systems, which enable on-site calibration. For on-site calibration, Sensor Instruments offers RAL plastic cards, which are additionally measured by SI according to the respective color measurement geometry (0°/45° or d/0°). The deter</w:t>
      </w:r>
      <w:r w:rsidR="00FE70EC">
        <w:rPr>
          <w:lang w:val="en-US"/>
        </w:rPr>
        <w:softHyphen/>
      </w:r>
      <w:r w:rsidR="00FE70EC" w:rsidRPr="00FE70EC">
        <w:rPr>
          <w:lang w:val="en-US"/>
        </w:rPr>
        <w:t xml:space="preserve">mined color value is applied to the respective color card together with a consecutive 5-digit number by </w:t>
      </w:r>
      <w:r w:rsidR="00FE70EC" w:rsidRPr="00FE70EC">
        <w:rPr>
          <w:lang w:val="en-US"/>
        </w:rPr>
        <w:lastRenderedPageBreak/>
        <w:t>means of a label and each color card is also included in the SI color file. During on-site calibration, this color file, which is available on the homepage of Sensor Instruments, can then be conveniently accessed. Factory recalibration is therefore no longer necessary.</w:t>
      </w:r>
    </w:p>
    <w:p w14:paraId="516F8075" w14:textId="6C565D47" w:rsidR="004F2F11" w:rsidRPr="009126D3" w:rsidRDefault="004F2F11" w:rsidP="004E4615">
      <w:pPr>
        <w:spacing w:line="276" w:lineRule="auto"/>
        <w:rPr>
          <w:lang w:val="en-US"/>
        </w:rPr>
      </w:pPr>
    </w:p>
    <w:p w14:paraId="72C5197D" w14:textId="77777777" w:rsidR="00121B9E" w:rsidRPr="009126D3" w:rsidRDefault="00121B9E" w:rsidP="004E4615">
      <w:pPr>
        <w:spacing w:line="276" w:lineRule="auto"/>
        <w:rPr>
          <w:lang w:val="en-US"/>
        </w:rPr>
      </w:pPr>
    </w:p>
    <w:p w14:paraId="738E9E2D" w14:textId="77777777" w:rsidR="00121B9E" w:rsidRPr="009126D3" w:rsidRDefault="00121B9E" w:rsidP="004E4615">
      <w:pPr>
        <w:spacing w:line="276" w:lineRule="auto"/>
        <w:rPr>
          <w:lang w:val="en-US"/>
        </w:rPr>
      </w:pPr>
    </w:p>
    <w:p w14:paraId="68A54FCB" w14:textId="71524EF8" w:rsidR="00595F28" w:rsidRPr="004D5CCD" w:rsidRDefault="009126D3" w:rsidP="004E4615">
      <w:pPr>
        <w:spacing w:line="276" w:lineRule="auto"/>
        <w:rPr>
          <w:b/>
          <w:lang w:val="en-US"/>
        </w:rPr>
      </w:pPr>
      <w:r w:rsidRPr="004D5CCD">
        <w:rPr>
          <w:b/>
          <w:lang w:val="en-US"/>
        </w:rPr>
        <w:t>C</w:t>
      </w:r>
      <w:r w:rsidR="00595F28" w:rsidRPr="004D5CCD">
        <w:rPr>
          <w:b/>
          <w:lang w:val="en-US"/>
        </w:rPr>
        <w:t>onta</w:t>
      </w:r>
      <w:r w:rsidRPr="004D5CCD">
        <w:rPr>
          <w:b/>
          <w:lang w:val="en-US"/>
        </w:rPr>
        <w:t>c</w:t>
      </w:r>
      <w:r w:rsidR="00595F28" w:rsidRPr="004D5CCD">
        <w:rPr>
          <w:b/>
          <w:lang w:val="en-US"/>
        </w:rPr>
        <w:t>t:</w:t>
      </w:r>
    </w:p>
    <w:p w14:paraId="61837551" w14:textId="06808084" w:rsidR="002F05F3" w:rsidRPr="004D5CCD" w:rsidRDefault="009126D3" w:rsidP="009126D3">
      <w:pPr>
        <w:spacing w:line="276" w:lineRule="auto"/>
        <w:rPr>
          <w:rFonts w:ascii="Arial" w:hAnsi="Arial" w:cs="Arial"/>
          <w:lang w:val="en-US"/>
        </w:rPr>
      </w:pPr>
      <w:r w:rsidRPr="004D5CCD">
        <w:rPr>
          <w:rFonts w:ascii="Arial" w:eastAsia="Times New Roman" w:hAnsi="Arial" w:cs="Arial"/>
          <w:lang w:val="en-US" w:eastAsia="de-DE"/>
        </w:rPr>
        <w:t>Sensor Instruments</w:t>
      </w:r>
      <w:r w:rsidRPr="004D5CCD">
        <w:rPr>
          <w:rFonts w:ascii="Arial" w:eastAsia="Times New Roman" w:hAnsi="Arial" w:cs="Arial"/>
          <w:lang w:val="en-US" w:eastAsia="de-DE"/>
        </w:rPr>
        <w:br/>
      </w:r>
      <w:proofErr w:type="spellStart"/>
      <w:r w:rsidRPr="004D5CCD">
        <w:rPr>
          <w:rFonts w:ascii="Arial" w:eastAsia="Times New Roman" w:hAnsi="Arial" w:cs="Arial"/>
          <w:lang w:val="en-US" w:eastAsia="de-DE"/>
        </w:rPr>
        <w:t>Entwicklungs</w:t>
      </w:r>
      <w:proofErr w:type="spellEnd"/>
      <w:r w:rsidRPr="004D5CCD">
        <w:rPr>
          <w:rFonts w:ascii="Arial" w:eastAsia="Times New Roman" w:hAnsi="Arial" w:cs="Arial"/>
          <w:lang w:val="en-US" w:eastAsia="de-DE"/>
        </w:rPr>
        <w:t xml:space="preserve">- und </w:t>
      </w:r>
      <w:proofErr w:type="spellStart"/>
      <w:r w:rsidRPr="004D5CCD">
        <w:rPr>
          <w:rFonts w:ascii="Arial" w:eastAsia="Times New Roman" w:hAnsi="Arial" w:cs="Arial"/>
          <w:lang w:val="en-US" w:eastAsia="de-DE"/>
        </w:rPr>
        <w:t>Vertriebs</w:t>
      </w:r>
      <w:proofErr w:type="spellEnd"/>
      <w:r w:rsidRPr="004D5CCD">
        <w:rPr>
          <w:rFonts w:ascii="Arial" w:eastAsia="Times New Roman" w:hAnsi="Arial" w:cs="Arial"/>
          <w:lang w:val="en-US" w:eastAsia="de-DE"/>
        </w:rPr>
        <w:t xml:space="preserve"> GmbH</w:t>
      </w:r>
      <w:r w:rsidRPr="004D5CCD">
        <w:rPr>
          <w:rFonts w:ascii="Arial" w:eastAsia="Times New Roman" w:hAnsi="Arial" w:cs="Arial"/>
          <w:lang w:val="en-US" w:eastAsia="de-DE"/>
        </w:rPr>
        <w:br/>
      </w:r>
      <w:proofErr w:type="spellStart"/>
      <w:r w:rsidRPr="004D5CCD">
        <w:rPr>
          <w:rFonts w:ascii="Arial" w:eastAsia="Times New Roman" w:hAnsi="Arial" w:cs="Arial"/>
          <w:lang w:val="en-US" w:eastAsia="de-DE"/>
        </w:rPr>
        <w:t>Schlinding</w:t>
      </w:r>
      <w:proofErr w:type="spellEnd"/>
      <w:r w:rsidRPr="004D5CCD">
        <w:rPr>
          <w:rFonts w:ascii="Arial" w:eastAsia="Times New Roman" w:hAnsi="Arial" w:cs="Arial"/>
          <w:lang w:val="en-US" w:eastAsia="de-DE"/>
        </w:rPr>
        <w:t xml:space="preserve"> 15</w:t>
      </w:r>
      <w:r w:rsidRPr="004D5CCD">
        <w:rPr>
          <w:rFonts w:ascii="Arial" w:eastAsia="Times New Roman" w:hAnsi="Arial" w:cs="Arial"/>
          <w:lang w:val="en-US" w:eastAsia="de-DE"/>
        </w:rPr>
        <w:br/>
        <w:t xml:space="preserve">D-94169 </w:t>
      </w:r>
      <w:proofErr w:type="spellStart"/>
      <w:r w:rsidRPr="004D5CCD">
        <w:rPr>
          <w:rFonts w:ascii="Arial" w:eastAsia="Times New Roman" w:hAnsi="Arial" w:cs="Arial"/>
          <w:lang w:val="en-US" w:eastAsia="de-DE"/>
        </w:rPr>
        <w:t>Thurmansbang</w:t>
      </w:r>
      <w:proofErr w:type="spellEnd"/>
      <w:r w:rsidRPr="004D5CCD">
        <w:rPr>
          <w:rFonts w:ascii="Arial" w:eastAsia="Times New Roman" w:hAnsi="Arial" w:cs="Arial"/>
          <w:lang w:val="en-US" w:eastAsia="de-DE"/>
        </w:rPr>
        <w:br/>
        <w:t>Telephone +49 8544 9719-0</w:t>
      </w:r>
      <w:r w:rsidRPr="004D5CCD">
        <w:rPr>
          <w:rFonts w:ascii="Arial" w:eastAsia="Times New Roman" w:hAnsi="Arial" w:cs="Arial"/>
          <w:lang w:val="en-US" w:eastAsia="de-DE"/>
        </w:rPr>
        <w:br/>
        <w:t>Fax +49 8544 9719-13</w:t>
      </w:r>
      <w:r w:rsidRPr="004D5CCD">
        <w:rPr>
          <w:rFonts w:ascii="Arial" w:eastAsia="Times New Roman" w:hAnsi="Arial" w:cs="Arial"/>
          <w:lang w:val="en-US" w:eastAsia="de-DE"/>
        </w:rPr>
        <w:br/>
        <w:t>info@sensorinstruments.de</w:t>
      </w:r>
    </w:p>
    <w:sectPr w:rsidR="002F05F3" w:rsidRPr="004D5CCD" w:rsidSect="00297089">
      <w:footerReference w:type="default" r:id="rId15"/>
      <w:pgSz w:w="11906" w:h="16838"/>
      <w:pgMar w:top="1417" w:right="1133" w:bottom="1276" w:left="1417" w:header="708" w:footer="6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D283E0" w14:textId="77777777" w:rsidR="00B8307B" w:rsidRDefault="00B8307B" w:rsidP="001532A0">
      <w:pPr>
        <w:spacing w:after="0" w:line="240" w:lineRule="auto"/>
      </w:pPr>
      <w:r>
        <w:separator/>
      </w:r>
    </w:p>
  </w:endnote>
  <w:endnote w:type="continuationSeparator" w:id="0">
    <w:p w14:paraId="30ADBD72" w14:textId="77777777" w:rsidR="00B8307B" w:rsidRDefault="00B8307B" w:rsidP="001532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FEF001" w14:textId="77777777" w:rsidR="00FA11C2" w:rsidRDefault="00FA11C2" w:rsidP="00015DA6">
    <w:pPr>
      <w:pStyle w:val="Fuzeile"/>
      <w:jc w:val="right"/>
      <w:rPr>
        <w:sz w:val="16"/>
        <w:szCs w:val="16"/>
      </w:rPr>
    </w:pPr>
  </w:p>
  <w:p w14:paraId="4A707412" w14:textId="14219B93" w:rsidR="001532A0" w:rsidRPr="00495A30" w:rsidRDefault="00202D15" w:rsidP="00015DA6">
    <w:pPr>
      <w:pStyle w:val="Fuzeile"/>
      <w:jc w:val="right"/>
      <w:rPr>
        <w:sz w:val="16"/>
        <w:szCs w:val="16"/>
        <w:lang w:val="en-US"/>
      </w:rPr>
    </w:pPr>
    <w:r>
      <w:rPr>
        <w:sz w:val="16"/>
        <w:szCs w:val="16"/>
      </w:rPr>
      <w:fldChar w:fldCharType="begin"/>
    </w:r>
    <w:r w:rsidRPr="00495A30">
      <w:rPr>
        <w:sz w:val="16"/>
        <w:szCs w:val="16"/>
        <w:lang w:val="en-US"/>
      </w:rPr>
      <w:instrText xml:space="preserve"> FILENAME   \* MERGEFORMAT </w:instrText>
    </w:r>
    <w:r>
      <w:rPr>
        <w:sz w:val="16"/>
        <w:szCs w:val="16"/>
      </w:rPr>
      <w:fldChar w:fldCharType="separate"/>
    </w:r>
    <w:r w:rsidR="0076307C">
      <w:rPr>
        <w:noProof/>
        <w:sz w:val="16"/>
        <w:szCs w:val="16"/>
        <w:lang w:val="en-US"/>
      </w:rPr>
      <w:t>EN_PI_2024-08-26_SI_Color measurement of recyclates in the recycling process.docx</w:t>
    </w:r>
    <w:r>
      <w:rPr>
        <w:sz w:val="16"/>
        <w:szCs w:val="16"/>
      </w:rPr>
      <w:fldChar w:fldCharType="end"/>
    </w:r>
    <w:r w:rsidR="003D1945" w:rsidRPr="00495A30">
      <w:rPr>
        <w:sz w:val="16"/>
        <w:szCs w:val="16"/>
        <w:lang w:val="en-US"/>
      </w:rPr>
      <w:t xml:space="preserve"> </w:t>
    </w:r>
    <w:r w:rsidR="001532A0" w:rsidRPr="00E46C22">
      <w:rPr>
        <w:bCs/>
        <w:sz w:val="16"/>
        <w:szCs w:val="16"/>
        <w:lang w:val="en-US"/>
      </w:rPr>
      <w:fldChar w:fldCharType="begin"/>
    </w:r>
    <w:r w:rsidR="001532A0" w:rsidRPr="00495A30">
      <w:rPr>
        <w:bCs/>
        <w:sz w:val="16"/>
        <w:szCs w:val="16"/>
        <w:lang w:val="en-US"/>
      </w:rPr>
      <w:instrText>PAGE  \* Arabic  \* MERGEFORMAT</w:instrText>
    </w:r>
    <w:r w:rsidR="001532A0" w:rsidRPr="00E46C22">
      <w:rPr>
        <w:bCs/>
        <w:sz w:val="16"/>
        <w:szCs w:val="16"/>
        <w:lang w:val="en-US"/>
      </w:rPr>
      <w:fldChar w:fldCharType="separate"/>
    </w:r>
    <w:r w:rsidR="00A23E3A" w:rsidRPr="00495A30">
      <w:rPr>
        <w:bCs/>
        <w:noProof/>
        <w:sz w:val="16"/>
        <w:szCs w:val="16"/>
        <w:lang w:val="en-US"/>
      </w:rPr>
      <w:t>1</w:t>
    </w:r>
    <w:r w:rsidR="001532A0" w:rsidRPr="00E46C22">
      <w:rPr>
        <w:bCs/>
        <w:sz w:val="16"/>
        <w:szCs w:val="16"/>
        <w:lang w:val="en-US"/>
      </w:rPr>
      <w:fldChar w:fldCharType="end"/>
    </w:r>
    <w:r w:rsidR="001532A0" w:rsidRPr="00495A30">
      <w:rPr>
        <w:bCs/>
        <w:sz w:val="16"/>
        <w:szCs w:val="16"/>
        <w:lang w:val="en-US"/>
      </w:rPr>
      <w:t>/</w:t>
    </w:r>
    <w:r w:rsidR="001532A0" w:rsidRPr="00E46C22">
      <w:rPr>
        <w:bCs/>
        <w:sz w:val="16"/>
        <w:szCs w:val="16"/>
        <w:lang w:val="en-US"/>
      </w:rPr>
      <w:fldChar w:fldCharType="begin"/>
    </w:r>
    <w:r w:rsidR="001532A0" w:rsidRPr="00495A30">
      <w:rPr>
        <w:bCs/>
        <w:sz w:val="16"/>
        <w:szCs w:val="16"/>
        <w:lang w:val="en-US"/>
      </w:rPr>
      <w:instrText>NUMPAGES  \* Arabic  \* MERGEFORMAT</w:instrText>
    </w:r>
    <w:r w:rsidR="001532A0" w:rsidRPr="00E46C22">
      <w:rPr>
        <w:bCs/>
        <w:sz w:val="16"/>
        <w:szCs w:val="16"/>
        <w:lang w:val="en-US"/>
      </w:rPr>
      <w:fldChar w:fldCharType="separate"/>
    </w:r>
    <w:r w:rsidR="00A23E3A" w:rsidRPr="00495A30">
      <w:rPr>
        <w:bCs/>
        <w:noProof/>
        <w:sz w:val="16"/>
        <w:szCs w:val="16"/>
        <w:lang w:val="en-US"/>
      </w:rPr>
      <w:t>2</w:t>
    </w:r>
    <w:r w:rsidR="001532A0" w:rsidRPr="00E46C22">
      <w:rPr>
        <w:bCs/>
        <w:sz w:val="16"/>
        <w:szCs w:val="16"/>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8DD658" w14:textId="77777777" w:rsidR="00B8307B" w:rsidRDefault="00B8307B" w:rsidP="001532A0">
      <w:pPr>
        <w:spacing w:after="0" w:line="240" w:lineRule="auto"/>
      </w:pPr>
      <w:r>
        <w:separator/>
      </w:r>
    </w:p>
  </w:footnote>
  <w:footnote w:type="continuationSeparator" w:id="0">
    <w:p w14:paraId="2A66EF02" w14:textId="77777777" w:rsidR="00B8307B" w:rsidRDefault="00B8307B" w:rsidP="001532A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8A2815"/>
    <w:multiLevelType w:val="hybridMultilevel"/>
    <w:tmpl w:val="5602EFA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8ED6902"/>
    <w:multiLevelType w:val="hybridMultilevel"/>
    <w:tmpl w:val="8584A9DA"/>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3341126"/>
    <w:multiLevelType w:val="hybridMultilevel"/>
    <w:tmpl w:val="2FD8F50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01E0C2D"/>
    <w:multiLevelType w:val="hybridMultilevel"/>
    <w:tmpl w:val="7938BA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15777EF"/>
    <w:multiLevelType w:val="hybridMultilevel"/>
    <w:tmpl w:val="6F06AE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469A37A4"/>
    <w:multiLevelType w:val="hybridMultilevel"/>
    <w:tmpl w:val="758887F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5352426E"/>
    <w:multiLevelType w:val="hybridMultilevel"/>
    <w:tmpl w:val="7A3E39B6"/>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7" w15:restartNumberingAfterBreak="0">
    <w:nsid w:val="6F903FA9"/>
    <w:multiLevelType w:val="hybridMultilevel"/>
    <w:tmpl w:val="230CCF9A"/>
    <w:lvl w:ilvl="0" w:tplc="CCD6C924">
      <w:start w:val="7"/>
      <w:numFmt w:val="bullet"/>
      <w:lvlText w:val="-"/>
      <w:lvlJc w:val="left"/>
      <w:pPr>
        <w:ind w:left="502" w:hanging="360"/>
      </w:pPr>
      <w:rPr>
        <w:rFonts w:ascii="Arial" w:eastAsia="Times New Roman" w:hAnsi="Arial" w:cs="Arial"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abstractNum w:abstractNumId="8" w15:restartNumberingAfterBreak="0">
    <w:nsid w:val="73303AFF"/>
    <w:multiLevelType w:val="hybridMultilevel"/>
    <w:tmpl w:val="EBD4C970"/>
    <w:lvl w:ilvl="0" w:tplc="DAD6ED08">
      <w:start w:val="1"/>
      <w:numFmt w:val="lowerLetter"/>
      <w:lvlText w:val="(%1)"/>
      <w:lvlJc w:val="left"/>
      <w:pPr>
        <w:ind w:left="720" w:hanging="360"/>
      </w:pPr>
      <w:rPr>
        <w:rFonts w:ascii="Arial" w:hAnsi="Arial" w:hint="default"/>
        <w:sz w:val="20"/>
        <w:szCs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33785262">
    <w:abstractNumId w:val="0"/>
  </w:num>
  <w:num w:numId="2" w16cid:durableId="1330137132">
    <w:abstractNumId w:val="8"/>
  </w:num>
  <w:num w:numId="3" w16cid:durableId="480000149">
    <w:abstractNumId w:val="5"/>
  </w:num>
  <w:num w:numId="4" w16cid:durableId="1831749789">
    <w:abstractNumId w:val="2"/>
  </w:num>
  <w:num w:numId="5" w16cid:durableId="958416280">
    <w:abstractNumId w:val="3"/>
  </w:num>
  <w:num w:numId="6" w16cid:durableId="378743307">
    <w:abstractNumId w:val="1"/>
  </w:num>
  <w:num w:numId="7" w16cid:durableId="1136725834">
    <w:abstractNumId w:val="6"/>
  </w:num>
  <w:num w:numId="8" w16cid:durableId="2089379065">
    <w:abstractNumId w:val="4"/>
  </w:num>
  <w:num w:numId="9" w16cid:durableId="164272790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1105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76A"/>
    <w:rsid w:val="00015DA6"/>
    <w:rsid w:val="0003634B"/>
    <w:rsid w:val="0005107E"/>
    <w:rsid w:val="00065AF0"/>
    <w:rsid w:val="000771EB"/>
    <w:rsid w:val="000771F6"/>
    <w:rsid w:val="00083FA8"/>
    <w:rsid w:val="00087AAD"/>
    <w:rsid w:val="0009709C"/>
    <w:rsid w:val="000A509D"/>
    <w:rsid w:val="000B15E4"/>
    <w:rsid w:val="000C5369"/>
    <w:rsid w:val="000E0E39"/>
    <w:rsid w:val="000E26A2"/>
    <w:rsid w:val="000F016C"/>
    <w:rsid w:val="000F35CD"/>
    <w:rsid w:val="001029C6"/>
    <w:rsid w:val="001109A8"/>
    <w:rsid w:val="00112A31"/>
    <w:rsid w:val="00116618"/>
    <w:rsid w:val="00121B9E"/>
    <w:rsid w:val="001278B1"/>
    <w:rsid w:val="00141499"/>
    <w:rsid w:val="001532A0"/>
    <w:rsid w:val="00155E9B"/>
    <w:rsid w:val="00157ACA"/>
    <w:rsid w:val="00161274"/>
    <w:rsid w:val="00190F41"/>
    <w:rsid w:val="001A0A21"/>
    <w:rsid w:val="001A2B05"/>
    <w:rsid w:val="001A509A"/>
    <w:rsid w:val="001C703E"/>
    <w:rsid w:val="001D6BEF"/>
    <w:rsid w:val="00202D15"/>
    <w:rsid w:val="0021703C"/>
    <w:rsid w:val="00220B43"/>
    <w:rsid w:val="00223C18"/>
    <w:rsid w:val="00226449"/>
    <w:rsid w:val="0023204E"/>
    <w:rsid w:val="002327AC"/>
    <w:rsid w:val="00267CF2"/>
    <w:rsid w:val="00274F5C"/>
    <w:rsid w:val="00275D11"/>
    <w:rsid w:val="0027766A"/>
    <w:rsid w:val="00297089"/>
    <w:rsid w:val="002A5DFF"/>
    <w:rsid w:val="002D03F6"/>
    <w:rsid w:val="002F05F3"/>
    <w:rsid w:val="003165B9"/>
    <w:rsid w:val="0032462B"/>
    <w:rsid w:val="00346821"/>
    <w:rsid w:val="003B500A"/>
    <w:rsid w:val="003C13BB"/>
    <w:rsid w:val="003D1945"/>
    <w:rsid w:val="003E0A49"/>
    <w:rsid w:val="00415980"/>
    <w:rsid w:val="00421828"/>
    <w:rsid w:val="00424CBE"/>
    <w:rsid w:val="00446E2C"/>
    <w:rsid w:val="0045782D"/>
    <w:rsid w:val="00457CED"/>
    <w:rsid w:val="004652CF"/>
    <w:rsid w:val="0049103D"/>
    <w:rsid w:val="00494A8C"/>
    <w:rsid w:val="00495A30"/>
    <w:rsid w:val="004963B7"/>
    <w:rsid w:val="004B20B6"/>
    <w:rsid w:val="004C0074"/>
    <w:rsid w:val="004D5CCD"/>
    <w:rsid w:val="004D7C95"/>
    <w:rsid w:val="004E079C"/>
    <w:rsid w:val="004E4615"/>
    <w:rsid w:val="004E7E08"/>
    <w:rsid w:val="004F2F11"/>
    <w:rsid w:val="004F520E"/>
    <w:rsid w:val="004F7197"/>
    <w:rsid w:val="00502CAC"/>
    <w:rsid w:val="00506C54"/>
    <w:rsid w:val="00514FA2"/>
    <w:rsid w:val="00535150"/>
    <w:rsid w:val="005532F6"/>
    <w:rsid w:val="0055438E"/>
    <w:rsid w:val="00561A97"/>
    <w:rsid w:val="00580539"/>
    <w:rsid w:val="00584CFF"/>
    <w:rsid w:val="00590893"/>
    <w:rsid w:val="00590898"/>
    <w:rsid w:val="00595F28"/>
    <w:rsid w:val="005A6BDD"/>
    <w:rsid w:val="005B0FFA"/>
    <w:rsid w:val="005C0A5C"/>
    <w:rsid w:val="005F37FF"/>
    <w:rsid w:val="005F4835"/>
    <w:rsid w:val="005F4E55"/>
    <w:rsid w:val="005F6417"/>
    <w:rsid w:val="00625C1F"/>
    <w:rsid w:val="00635992"/>
    <w:rsid w:val="00650336"/>
    <w:rsid w:val="00652094"/>
    <w:rsid w:val="00657AC7"/>
    <w:rsid w:val="00660FF3"/>
    <w:rsid w:val="006632C6"/>
    <w:rsid w:val="006653E4"/>
    <w:rsid w:val="00671483"/>
    <w:rsid w:val="00672472"/>
    <w:rsid w:val="00672A2C"/>
    <w:rsid w:val="00674C2D"/>
    <w:rsid w:val="00682770"/>
    <w:rsid w:val="00686C21"/>
    <w:rsid w:val="006A6158"/>
    <w:rsid w:val="006B5983"/>
    <w:rsid w:val="006B7DAE"/>
    <w:rsid w:val="006C08EA"/>
    <w:rsid w:val="006D7BA2"/>
    <w:rsid w:val="007234D8"/>
    <w:rsid w:val="00754DE6"/>
    <w:rsid w:val="0076307C"/>
    <w:rsid w:val="00766489"/>
    <w:rsid w:val="007750EB"/>
    <w:rsid w:val="007762BC"/>
    <w:rsid w:val="007852B3"/>
    <w:rsid w:val="00794211"/>
    <w:rsid w:val="007A137F"/>
    <w:rsid w:val="007A3B4E"/>
    <w:rsid w:val="007A65E8"/>
    <w:rsid w:val="007C414F"/>
    <w:rsid w:val="007D0EA5"/>
    <w:rsid w:val="007D1312"/>
    <w:rsid w:val="007D65EE"/>
    <w:rsid w:val="007E016E"/>
    <w:rsid w:val="007F0AF4"/>
    <w:rsid w:val="007F187D"/>
    <w:rsid w:val="007F5827"/>
    <w:rsid w:val="007F6194"/>
    <w:rsid w:val="008024F4"/>
    <w:rsid w:val="00810FBC"/>
    <w:rsid w:val="008171A6"/>
    <w:rsid w:val="00851AE9"/>
    <w:rsid w:val="00864FBD"/>
    <w:rsid w:val="00865DCD"/>
    <w:rsid w:val="00876819"/>
    <w:rsid w:val="00880C86"/>
    <w:rsid w:val="008A1608"/>
    <w:rsid w:val="008A6FE2"/>
    <w:rsid w:val="008B054F"/>
    <w:rsid w:val="008B69F1"/>
    <w:rsid w:val="008D1AFC"/>
    <w:rsid w:val="008D5A7E"/>
    <w:rsid w:val="008E15EF"/>
    <w:rsid w:val="0090182A"/>
    <w:rsid w:val="009126D3"/>
    <w:rsid w:val="00924816"/>
    <w:rsid w:val="00930E27"/>
    <w:rsid w:val="00931123"/>
    <w:rsid w:val="009850E0"/>
    <w:rsid w:val="00992625"/>
    <w:rsid w:val="00995B38"/>
    <w:rsid w:val="00996E16"/>
    <w:rsid w:val="009A2B09"/>
    <w:rsid w:val="009A5A5F"/>
    <w:rsid w:val="009B3E7C"/>
    <w:rsid w:val="009C0881"/>
    <w:rsid w:val="009E7691"/>
    <w:rsid w:val="00A238DF"/>
    <w:rsid w:val="00A23E3A"/>
    <w:rsid w:val="00A34E36"/>
    <w:rsid w:val="00A36B92"/>
    <w:rsid w:val="00A45304"/>
    <w:rsid w:val="00A5356E"/>
    <w:rsid w:val="00A5639E"/>
    <w:rsid w:val="00A8462C"/>
    <w:rsid w:val="00A84D30"/>
    <w:rsid w:val="00AA54CC"/>
    <w:rsid w:val="00AD0A5B"/>
    <w:rsid w:val="00AD359B"/>
    <w:rsid w:val="00AD4B12"/>
    <w:rsid w:val="00AD5EEC"/>
    <w:rsid w:val="00AE20A3"/>
    <w:rsid w:val="00B03E64"/>
    <w:rsid w:val="00B0585B"/>
    <w:rsid w:val="00B11A91"/>
    <w:rsid w:val="00B22F48"/>
    <w:rsid w:val="00B41AA5"/>
    <w:rsid w:val="00B578BB"/>
    <w:rsid w:val="00B80E7C"/>
    <w:rsid w:val="00B8307B"/>
    <w:rsid w:val="00B83824"/>
    <w:rsid w:val="00B85773"/>
    <w:rsid w:val="00B90CD1"/>
    <w:rsid w:val="00B916E8"/>
    <w:rsid w:val="00BC4B38"/>
    <w:rsid w:val="00BE3791"/>
    <w:rsid w:val="00BF5292"/>
    <w:rsid w:val="00C076B7"/>
    <w:rsid w:val="00C12EAC"/>
    <w:rsid w:val="00C17A21"/>
    <w:rsid w:val="00C17C64"/>
    <w:rsid w:val="00C267DC"/>
    <w:rsid w:val="00C575DB"/>
    <w:rsid w:val="00C6176A"/>
    <w:rsid w:val="00C61C8D"/>
    <w:rsid w:val="00C71482"/>
    <w:rsid w:val="00C85DCD"/>
    <w:rsid w:val="00C87ED5"/>
    <w:rsid w:val="00CA22DC"/>
    <w:rsid w:val="00CA2DC8"/>
    <w:rsid w:val="00CB61DE"/>
    <w:rsid w:val="00CD79C8"/>
    <w:rsid w:val="00D03611"/>
    <w:rsid w:val="00D12E9B"/>
    <w:rsid w:val="00D139AD"/>
    <w:rsid w:val="00D25104"/>
    <w:rsid w:val="00D25F41"/>
    <w:rsid w:val="00D43BD6"/>
    <w:rsid w:val="00D44CB4"/>
    <w:rsid w:val="00D470BF"/>
    <w:rsid w:val="00D55447"/>
    <w:rsid w:val="00D73FF6"/>
    <w:rsid w:val="00D74564"/>
    <w:rsid w:val="00D92430"/>
    <w:rsid w:val="00DA3B52"/>
    <w:rsid w:val="00DB1747"/>
    <w:rsid w:val="00DC64E6"/>
    <w:rsid w:val="00DC6584"/>
    <w:rsid w:val="00DE2E45"/>
    <w:rsid w:val="00DE7644"/>
    <w:rsid w:val="00E0794B"/>
    <w:rsid w:val="00E133D0"/>
    <w:rsid w:val="00E426A6"/>
    <w:rsid w:val="00E74EFC"/>
    <w:rsid w:val="00E80B9A"/>
    <w:rsid w:val="00E83C2D"/>
    <w:rsid w:val="00E90C27"/>
    <w:rsid w:val="00E927B3"/>
    <w:rsid w:val="00EA3D9D"/>
    <w:rsid w:val="00ED570B"/>
    <w:rsid w:val="00EE365E"/>
    <w:rsid w:val="00F064BB"/>
    <w:rsid w:val="00F07DD6"/>
    <w:rsid w:val="00F17E45"/>
    <w:rsid w:val="00F310CA"/>
    <w:rsid w:val="00F35845"/>
    <w:rsid w:val="00F46FC6"/>
    <w:rsid w:val="00F50A5D"/>
    <w:rsid w:val="00F83413"/>
    <w:rsid w:val="00F92056"/>
    <w:rsid w:val="00F93484"/>
    <w:rsid w:val="00FA11C2"/>
    <w:rsid w:val="00FA713B"/>
    <w:rsid w:val="00FA7221"/>
    <w:rsid w:val="00FB58B3"/>
    <w:rsid w:val="00FB74D8"/>
    <w:rsid w:val="00FC7E65"/>
    <w:rsid w:val="00FD76D1"/>
    <w:rsid w:val="00FE70EC"/>
    <w:rsid w:val="00FF5E6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10593"/>
    <o:shapelayout v:ext="edit">
      <o:idmap v:ext="edit" data="1"/>
    </o:shapelayout>
  </w:shapeDefaults>
  <w:decimalSymbol w:val=","/>
  <w:listSeparator w:val=";"/>
  <w14:docId w14:val="4448254B"/>
  <w15:docId w15:val="{2CFF7D89-0D95-4DA6-A786-83DD9B8813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21B9E"/>
  </w:style>
  <w:style w:type="paragraph" w:styleId="berschrift2">
    <w:name w:val="heading 2"/>
    <w:basedOn w:val="Standard"/>
    <w:link w:val="berschrift2Zchn"/>
    <w:uiPriority w:val="9"/>
    <w:qFormat/>
    <w:rsid w:val="00595F28"/>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595F28"/>
    <w:rPr>
      <w:rFonts w:ascii="Times New Roman" w:eastAsia="Times New Roman" w:hAnsi="Times New Roman" w:cs="Times New Roman"/>
      <w:b/>
      <w:bCs/>
      <w:sz w:val="36"/>
      <w:szCs w:val="36"/>
      <w:lang w:eastAsia="de-DE"/>
    </w:rPr>
  </w:style>
  <w:style w:type="paragraph" w:styleId="Sprechblasentext">
    <w:name w:val="Balloon Text"/>
    <w:basedOn w:val="Standard"/>
    <w:link w:val="SprechblasentextZchn"/>
    <w:uiPriority w:val="99"/>
    <w:semiHidden/>
    <w:unhideWhenUsed/>
    <w:rsid w:val="00595F2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95F28"/>
    <w:rPr>
      <w:rFonts w:ascii="Segoe UI" w:hAnsi="Segoe UI" w:cs="Segoe UI"/>
      <w:sz w:val="18"/>
      <w:szCs w:val="18"/>
    </w:rPr>
  </w:style>
  <w:style w:type="paragraph" w:styleId="Kopfzeile">
    <w:name w:val="header"/>
    <w:basedOn w:val="Standard"/>
    <w:link w:val="KopfzeileZchn"/>
    <w:uiPriority w:val="99"/>
    <w:unhideWhenUsed/>
    <w:rsid w:val="001532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532A0"/>
  </w:style>
  <w:style w:type="paragraph" w:styleId="Fuzeile">
    <w:name w:val="footer"/>
    <w:basedOn w:val="Standard"/>
    <w:link w:val="FuzeileZchn"/>
    <w:uiPriority w:val="99"/>
    <w:unhideWhenUsed/>
    <w:rsid w:val="001532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532A0"/>
  </w:style>
  <w:style w:type="character" w:styleId="Fett">
    <w:name w:val="Strong"/>
    <w:basedOn w:val="Absatz-Standardschriftart"/>
    <w:uiPriority w:val="22"/>
    <w:qFormat/>
    <w:rsid w:val="00E90C27"/>
    <w:rPr>
      <w:b/>
      <w:bCs/>
    </w:rPr>
  </w:style>
  <w:style w:type="character" w:customStyle="1" w:styleId="Nachrichtenkopfbeschriftung">
    <w:name w:val="Nachrichtenkopfbeschriftung"/>
    <w:rsid w:val="00EE365E"/>
    <w:rPr>
      <w:rFonts w:ascii="Arial Black" w:hAnsi="Arial Black"/>
      <w:spacing w:val="-10"/>
      <w:sz w:val="18"/>
    </w:rPr>
  </w:style>
  <w:style w:type="character" w:styleId="Hyperlink">
    <w:name w:val="Hyperlink"/>
    <w:rsid w:val="00EE365E"/>
    <w:rPr>
      <w:color w:val="0000FF"/>
      <w:u w:val="single"/>
      <w:lang w:val="de-DE"/>
    </w:rPr>
  </w:style>
  <w:style w:type="paragraph" w:styleId="StandardWeb">
    <w:name w:val="Normal (Web)"/>
    <w:basedOn w:val="Standard"/>
    <w:uiPriority w:val="99"/>
    <w:rsid w:val="00EE365E"/>
    <w:pPr>
      <w:spacing w:after="120" w:line="280" w:lineRule="atLeast"/>
      <w:jc w:val="both"/>
    </w:pPr>
    <w:rPr>
      <w:rFonts w:ascii="Times New Roman" w:eastAsia="Times New Roman" w:hAnsi="Times New Roman" w:cs="Times New Roman"/>
      <w:spacing w:val="-5"/>
      <w:sz w:val="24"/>
      <w:szCs w:val="24"/>
    </w:rPr>
  </w:style>
  <w:style w:type="table" w:styleId="Tabellenraster">
    <w:name w:val="Table Grid"/>
    <w:basedOn w:val="NormaleTabelle"/>
    <w:rsid w:val="00EE365E"/>
    <w:pPr>
      <w:spacing w:after="0" w:line="240" w:lineRule="auto"/>
      <w:ind w:left="835" w:right="835"/>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E365E"/>
    <w:pPr>
      <w:spacing w:after="120" w:line="280" w:lineRule="atLeast"/>
      <w:ind w:left="720"/>
      <w:contextualSpacing/>
      <w:jc w:val="both"/>
    </w:pPr>
    <w:rPr>
      <w:rFonts w:ascii="Arial" w:eastAsia="Times New Roman" w:hAnsi="Arial" w:cs="Times New Roman"/>
      <w:spacing w:val="-5"/>
      <w:sz w:val="20"/>
      <w:szCs w:val="20"/>
    </w:rPr>
  </w:style>
  <w:style w:type="character" w:styleId="NichtaufgelsteErwhnung">
    <w:name w:val="Unresolved Mention"/>
    <w:basedOn w:val="Absatz-Standardschriftart"/>
    <w:uiPriority w:val="99"/>
    <w:semiHidden/>
    <w:unhideWhenUsed/>
    <w:rsid w:val="00087AAD"/>
    <w:rPr>
      <w:color w:val="605E5C"/>
      <w:shd w:val="clear" w:color="auto" w:fill="E1DFDD"/>
    </w:rPr>
  </w:style>
  <w:style w:type="character" w:styleId="BesuchterLink">
    <w:name w:val="FollowedHyperlink"/>
    <w:basedOn w:val="Absatz-Standardschriftart"/>
    <w:uiPriority w:val="99"/>
    <w:semiHidden/>
    <w:unhideWhenUsed/>
    <w:rsid w:val="001029C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10079959">
      <w:bodyDiv w:val="1"/>
      <w:marLeft w:val="0"/>
      <w:marRight w:val="0"/>
      <w:marTop w:val="0"/>
      <w:marBottom w:val="0"/>
      <w:divBdr>
        <w:top w:val="none" w:sz="0" w:space="0" w:color="auto"/>
        <w:left w:val="none" w:sz="0" w:space="0" w:color="auto"/>
        <w:bottom w:val="none" w:sz="0" w:space="0" w:color="auto"/>
        <w:right w:val="none" w:sz="0" w:space="0" w:color="auto"/>
      </w:divBdr>
      <w:divsChild>
        <w:div w:id="421687499">
          <w:marLeft w:val="0"/>
          <w:marRight w:val="0"/>
          <w:marTop w:val="0"/>
          <w:marBottom w:val="0"/>
          <w:divBdr>
            <w:top w:val="none" w:sz="0" w:space="0" w:color="auto"/>
            <w:left w:val="none" w:sz="0" w:space="0" w:color="auto"/>
            <w:bottom w:val="none" w:sz="0" w:space="0" w:color="auto"/>
            <w:right w:val="none" w:sz="0" w:space="0" w:color="auto"/>
          </w:divBdr>
          <w:divsChild>
            <w:div w:id="950553408">
              <w:marLeft w:val="0"/>
              <w:marRight w:val="0"/>
              <w:marTop w:val="0"/>
              <w:marBottom w:val="0"/>
              <w:divBdr>
                <w:top w:val="none" w:sz="0" w:space="0" w:color="auto"/>
                <w:left w:val="none" w:sz="0" w:space="0" w:color="auto"/>
                <w:bottom w:val="none" w:sz="0" w:space="0" w:color="auto"/>
                <w:right w:val="none" w:sz="0" w:space="0" w:color="auto"/>
              </w:divBdr>
            </w:div>
            <w:div w:id="113984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911188">
      <w:bodyDiv w:val="1"/>
      <w:marLeft w:val="0"/>
      <w:marRight w:val="0"/>
      <w:marTop w:val="0"/>
      <w:marBottom w:val="0"/>
      <w:divBdr>
        <w:top w:val="none" w:sz="0" w:space="0" w:color="auto"/>
        <w:left w:val="none" w:sz="0" w:space="0" w:color="auto"/>
        <w:bottom w:val="none" w:sz="0" w:space="0" w:color="auto"/>
        <w:right w:val="none" w:sz="0" w:space="0" w:color="auto"/>
      </w:divBdr>
      <w:divsChild>
        <w:div w:id="2764478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8F59A5-82A0-4854-A453-3CCDC5E550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771</Words>
  <Characters>4862</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dc:creator>
  <cp:lastModifiedBy>Helga Braumandl</cp:lastModifiedBy>
  <cp:revision>16</cp:revision>
  <cp:lastPrinted>2024-09-09T19:11:00Z</cp:lastPrinted>
  <dcterms:created xsi:type="dcterms:W3CDTF">2024-08-26T21:08:00Z</dcterms:created>
  <dcterms:modified xsi:type="dcterms:W3CDTF">2024-09-09T19:11:00Z</dcterms:modified>
</cp:coreProperties>
</file>